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2F4" w:rsidRPr="00E362F4" w:rsidRDefault="00E362F4" w:rsidP="00E362F4">
      <w:pPr>
        <w:jc w:val="center"/>
        <w:rPr>
          <w:rFonts w:ascii="黑体" w:eastAsia="黑体" w:hAnsi="黑体" w:cs="Times New Roman"/>
          <w:sz w:val="36"/>
          <w:szCs w:val="36"/>
        </w:rPr>
      </w:pPr>
      <w:r w:rsidRPr="00E362F4">
        <w:rPr>
          <w:rFonts w:ascii="黑体" w:eastAsia="黑体" w:hAnsi="黑体" w:cs="Times New Roman" w:hint="eastAsia"/>
          <w:sz w:val="36"/>
          <w:szCs w:val="36"/>
        </w:rPr>
        <w:t>深圳市市场监督管理局</w:t>
      </w:r>
    </w:p>
    <w:p w:rsidR="00E362F4" w:rsidRPr="00E362F4" w:rsidRDefault="00E362F4" w:rsidP="00E362F4">
      <w:pPr>
        <w:spacing w:beforeLines="75" w:before="234" w:line="360" w:lineRule="auto"/>
        <w:jc w:val="center"/>
        <w:rPr>
          <w:rFonts w:ascii="黑体" w:eastAsia="黑体" w:hAnsi="黑体" w:cs="Times New Roman"/>
          <w:sz w:val="36"/>
          <w:szCs w:val="36"/>
        </w:rPr>
      </w:pPr>
      <w:r w:rsidRPr="00E362F4">
        <w:rPr>
          <w:rFonts w:ascii="黑体" w:eastAsia="黑体" w:hAnsi="黑体" w:cs="Times New Roman" w:hint="eastAsia"/>
          <w:sz w:val="36"/>
          <w:szCs w:val="36"/>
        </w:rPr>
        <w:t>低压成套开关设备和控制设备、低压无功功率补偿装置产品质量监督抽查实施规范</w:t>
      </w:r>
    </w:p>
    <w:p w:rsidR="00E362F4" w:rsidRPr="00E362F4" w:rsidRDefault="00E362F4" w:rsidP="00E362F4">
      <w:pPr>
        <w:spacing w:beforeLines="75" w:before="234" w:line="360" w:lineRule="auto"/>
        <w:jc w:val="center"/>
        <w:rPr>
          <w:rFonts w:ascii="黑体" w:eastAsia="黑体" w:hAnsi="黑体" w:cs="Times New Roman"/>
          <w:color w:val="000000"/>
          <w:sz w:val="28"/>
          <w:szCs w:val="24"/>
        </w:rPr>
      </w:pPr>
      <w:r w:rsidRPr="00E362F4">
        <w:rPr>
          <w:rFonts w:ascii="黑体" w:eastAsia="黑体" w:hAnsi="黑体" w:cs="Times New Roman" w:hint="eastAsia"/>
          <w:color w:val="000000"/>
          <w:sz w:val="28"/>
          <w:szCs w:val="24"/>
        </w:rPr>
        <w:t>编号：CCGF-SZ-109-2017</w:t>
      </w:r>
    </w:p>
    <w:p w:rsidR="00E362F4" w:rsidRPr="00E362F4" w:rsidRDefault="00E362F4" w:rsidP="00E362F4">
      <w:pPr>
        <w:snapToGrid w:val="0"/>
        <w:spacing w:line="360" w:lineRule="auto"/>
        <w:rPr>
          <w:rFonts w:ascii="宋体" w:eastAsia="宋体" w:hAnsi="宋体" w:cs="Times New Roman"/>
          <w:b/>
          <w:sz w:val="24"/>
          <w:szCs w:val="24"/>
        </w:rPr>
      </w:pPr>
    </w:p>
    <w:p w:rsidR="00E362F4" w:rsidRPr="00E362F4" w:rsidRDefault="00E362F4" w:rsidP="00E362F4">
      <w:pPr>
        <w:snapToGrid w:val="0"/>
        <w:spacing w:line="360" w:lineRule="auto"/>
        <w:rPr>
          <w:rFonts w:ascii="黑体" w:eastAsia="黑体" w:hAnsi="黑体" w:cs="Times New Roman"/>
          <w:sz w:val="28"/>
          <w:szCs w:val="24"/>
        </w:rPr>
      </w:pPr>
      <w:r w:rsidRPr="00E362F4">
        <w:rPr>
          <w:rFonts w:ascii="黑体" w:eastAsia="黑体" w:hAnsi="黑体" w:cs="Times New Roman" w:hint="eastAsia"/>
          <w:sz w:val="28"/>
          <w:szCs w:val="24"/>
        </w:rPr>
        <w:t>1  适用范围</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本规范适用于深圳市生产低压成套开关设备和控制设备、低压无功功率补偿装置产品质量监督抽查。监督抽查产品范围包括：深圳市低压成套开关设备和控制设备、低压无功功率补偿装置生产企业。</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本规范内容包括适用范围、产品种类、术语和定义、检验依据、抽样、检验要求，判定原则及异议处理复检。</w:t>
      </w:r>
    </w:p>
    <w:p w:rsidR="00E362F4" w:rsidRPr="00E362F4" w:rsidRDefault="00E362F4" w:rsidP="00E362F4">
      <w:pPr>
        <w:snapToGrid w:val="0"/>
        <w:spacing w:line="360" w:lineRule="auto"/>
        <w:outlineLvl w:val="0"/>
        <w:rPr>
          <w:rFonts w:ascii="黑体" w:eastAsia="黑体" w:hAnsi="黑体" w:cs="Times New Roman"/>
          <w:sz w:val="28"/>
          <w:szCs w:val="24"/>
        </w:rPr>
      </w:pPr>
      <w:r w:rsidRPr="00E362F4">
        <w:rPr>
          <w:rFonts w:ascii="黑体" w:eastAsia="黑体" w:hAnsi="黑体" w:cs="Times New Roman" w:hint="eastAsia"/>
          <w:sz w:val="28"/>
          <w:szCs w:val="24"/>
        </w:rPr>
        <w:t>2  产品种类</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产品种类见表1。</w:t>
      </w:r>
    </w:p>
    <w:p w:rsidR="00E362F4" w:rsidRPr="00E362F4" w:rsidRDefault="00E362F4" w:rsidP="00E362F4">
      <w:pPr>
        <w:snapToGrid w:val="0"/>
        <w:spacing w:line="360" w:lineRule="auto"/>
        <w:jc w:val="center"/>
        <w:rPr>
          <w:rFonts w:ascii="黑体" w:eastAsia="黑体" w:hAnsi="黑体" w:cs="Times New Roman"/>
          <w:sz w:val="24"/>
          <w:szCs w:val="24"/>
        </w:rPr>
      </w:pPr>
      <w:r w:rsidRPr="00E362F4">
        <w:rPr>
          <w:rFonts w:ascii="黑体" w:eastAsia="黑体" w:hAnsi="黑体" w:cs="Times New Roman" w:hint="eastAsia"/>
          <w:sz w:val="24"/>
          <w:szCs w:val="24"/>
        </w:rPr>
        <w:t>表1  产品种类</w:t>
      </w:r>
    </w:p>
    <w:tbl>
      <w:tblPr>
        <w:tblW w:w="7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828"/>
      </w:tblGrid>
      <w:tr w:rsidR="00E362F4" w:rsidRPr="00E362F4" w:rsidTr="002A5523">
        <w:trPr>
          <w:trHeight w:val="623"/>
          <w:tblHeader/>
          <w:jc w:val="center"/>
        </w:trPr>
        <w:tc>
          <w:tcPr>
            <w:tcW w:w="3681" w:type="dxa"/>
            <w:vAlign w:val="center"/>
          </w:tcPr>
          <w:p w:rsidR="00E362F4" w:rsidRPr="00E362F4" w:rsidRDefault="00E362F4" w:rsidP="00E362F4">
            <w:pPr>
              <w:snapToGrid w:val="0"/>
              <w:spacing w:line="300" w:lineRule="exact"/>
              <w:jc w:val="center"/>
              <w:rPr>
                <w:rFonts w:ascii="黑体" w:eastAsia="黑体" w:hAnsi="黑体" w:cs="Times New Roman"/>
                <w:sz w:val="24"/>
                <w:szCs w:val="21"/>
              </w:rPr>
            </w:pPr>
            <w:r w:rsidRPr="00E362F4">
              <w:rPr>
                <w:rFonts w:ascii="黑体" w:eastAsia="黑体" w:hAnsi="黑体" w:cs="Times New Roman" w:hint="eastAsia"/>
                <w:sz w:val="24"/>
                <w:szCs w:val="21"/>
              </w:rPr>
              <w:t>产品种类</w:t>
            </w:r>
          </w:p>
        </w:tc>
        <w:tc>
          <w:tcPr>
            <w:tcW w:w="3828" w:type="dxa"/>
            <w:vAlign w:val="center"/>
          </w:tcPr>
          <w:p w:rsidR="00E362F4" w:rsidRPr="00E362F4" w:rsidRDefault="00E362F4" w:rsidP="00E362F4">
            <w:pPr>
              <w:snapToGrid w:val="0"/>
              <w:spacing w:line="300" w:lineRule="exact"/>
              <w:jc w:val="center"/>
              <w:rPr>
                <w:rFonts w:ascii="黑体" w:eastAsia="黑体" w:hAnsi="黑体" w:cs="Times New Roman"/>
                <w:sz w:val="24"/>
                <w:szCs w:val="21"/>
              </w:rPr>
            </w:pPr>
            <w:r w:rsidRPr="00E362F4">
              <w:rPr>
                <w:rFonts w:ascii="黑体" w:eastAsia="黑体" w:hAnsi="黑体" w:cs="Times New Roman" w:hint="eastAsia"/>
                <w:sz w:val="24"/>
                <w:szCs w:val="21"/>
              </w:rPr>
              <w:t>包含产品列举</w:t>
            </w:r>
          </w:p>
        </w:tc>
      </w:tr>
      <w:tr w:rsidR="00E362F4" w:rsidRPr="00E362F4" w:rsidTr="002A5523">
        <w:trPr>
          <w:trHeight w:val="567"/>
          <w:jc w:val="center"/>
        </w:trPr>
        <w:tc>
          <w:tcPr>
            <w:tcW w:w="3681" w:type="dxa"/>
            <w:vMerge w:val="restart"/>
            <w:shd w:val="clear" w:color="auto" w:fill="auto"/>
            <w:vAlign w:val="center"/>
          </w:tcPr>
          <w:p w:rsidR="00E362F4" w:rsidRPr="00E362F4" w:rsidRDefault="00E362F4" w:rsidP="00E362F4">
            <w:pPr>
              <w:autoSpaceDE w:val="0"/>
              <w:autoSpaceDN w:val="0"/>
              <w:adjustRightInd w:val="0"/>
              <w:spacing w:line="300" w:lineRule="exact"/>
              <w:jc w:val="center"/>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低压成套开关设备和控制设备</w:t>
            </w: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配电板、配电箱、计量箱</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Times New Roman"/>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建筑工地用成套设备</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Times New Roman"/>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动力配电网用电缆分线箱</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Times New Roman"/>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低压抽出式成套开关设备</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Times New Roman"/>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低压固定封闭式成套开关设备</w:t>
            </w:r>
          </w:p>
        </w:tc>
      </w:tr>
      <w:tr w:rsidR="00E362F4" w:rsidRPr="00E362F4" w:rsidTr="002A5523">
        <w:trPr>
          <w:trHeight w:val="567"/>
          <w:jc w:val="center"/>
        </w:trPr>
        <w:tc>
          <w:tcPr>
            <w:tcW w:w="3681" w:type="dxa"/>
            <w:vMerge w:val="restart"/>
            <w:shd w:val="clear" w:color="auto" w:fill="auto"/>
            <w:vAlign w:val="center"/>
          </w:tcPr>
          <w:p w:rsidR="00E362F4" w:rsidRPr="00E362F4" w:rsidRDefault="00E362F4" w:rsidP="00E362F4">
            <w:pPr>
              <w:autoSpaceDE w:val="0"/>
              <w:autoSpaceDN w:val="0"/>
              <w:adjustRightInd w:val="0"/>
              <w:spacing w:line="300" w:lineRule="exact"/>
              <w:jc w:val="center"/>
              <w:rPr>
                <w:rFonts w:ascii="仿宋_GB2312" w:eastAsia="仿宋_GB2312" w:hAnsi="宋体" w:cs="Times New Roman"/>
                <w:sz w:val="24"/>
                <w:szCs w:val="21"/>
              </w:rPr>
            </w:pPr>
            <w:r w:rsidRPr="00E362F4">
              <w:rPr>
                <w:rFonts w:ascii="仿宋_GB2312" w:eastAsia="仿宋_GB2312" w:hAnsi="宋体" w:cs="Times New Roman" w:hint="eastAsia"/>
                <w:sz w:val="24"/>
                <w:szCs w:val="21"/>
              </w:rPr>
              <w:t>低压无功功率补偿装置</w:t>
            </w: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集中补偿装置</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Times New Roman"/>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分组补偿装置</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Times New Roman"/>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末端补偿箱</w:t>
            </w:r>
          </w:p>
        </w:tc>
      </w:tr>
      <w:tr w:rsidR="00E362F4" w:rsidRPr="00E362F4" w:rsidTr="002A5523">
        <w:trPr>
          <w:trHeight w:val="567"/>
          <w:jc w:val="center"/>
        </w:trPr>
        <w:tc>
          <w:tcPr>
            <w:tcW w:w="3681" w:type="dxa"/>
            <w:vMerge/>
            <w:shd w:val="clear" w:color="auto" w:fill="auto"/>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p>
        </w:tc>
        <w:tc>
          <w:tcPr>
            <w:tcW w:w="3828" w:type="dxa"/>
            <w:vAlign w:val="center"/>
          </w:tcPr>
          <w:p w:rsidR="00E362F4" w:rsidRPr="00E362F4" w:rsidRDefault="00E362F4" w:rsidP="00E362F4">
            <w:pPr>
              <w:autoSpaceDE w:val="0"/>
              <w:autoSpaceDN w:val="0"/>
              <w:adjustRightInd w:val="0"/>
              <w:spacing w:line="300" w:lineRule="exact"/>
              <w:rPr>
                <w:rFonts w:ascii="仿宋_GB2312" w:eastAsia="仿宋_GB2312" w:hAnsi="宋体" w:cs="宋体"/>
                <w:kern w:val="0"/>
                <w:sz w:val="24"/>
                <w:szCs w:val="21"/>
              </w:rPr>
            </w:pPr>
            <w:r w:rsidRPr="00E362F4">
              <w:rPr>
                <w:rFonts w:ascii="仿宋_GB2312" w:eastAsia="仿宋_GB2312" w:hAnsi="宋体" w:cs="宋体" w:hint="eastAsia"/>
                <w:kern w:val="0"/>
                <w:sz w:val="24"/>
                <w:szCs w:val="21"/>
              </w:rPr>
              <w:t>带补偿的异步电动机起动装置</w:t>
            </w:r>
          </w:p>
        </w:tc>
      </w:tr>
    </w:tbl>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p>
    <w:p w:rsidR="00E362F4" w:rsidRPr="00E362F4" w:rsidRDefault="00E362F4" w:rsidP="00E362F4">
      <w:pPr>
        <w:snapToGrid w:val="0"/>
        <w:spacing w:line="360" w:lineRule="auto"/>
        <w:rPr>
          <w:rFonts w:ascii="黑体" w:eastAsia="黑体" w:hAnsi="黑体" w:cs="Times New Roman"/>
          <w:sz w:val="28"/>
          <w:szCs w:val="24"/>
        </w:rPr>
      </w:pPr>
      <w:r w:rsidRPr="00E362F4">
        <w:rPr>
          <w:rFonts w:ascii="黑体" w:eastAsia="黑体" w:hAnsi="黑体" w:cs="Times New Roman" w:hint="eastAsia"/>
          <w:sz w:val="28"/>
          <w:szCs w:val="24"/>
        </w:rPr>
        <w:t>3  术语和定义</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6405"/>
      </w:tblGrid>
      <w:tr w:rsidR="00E362F4" w:rsidRPr="00E362F4" w:rsidTr="002A5523">
        <w:trPr>
          <w:trHeight w:val="530"/>
          <w:tblHeader/>
          <w:jc w:val="center"/>
        </w:trPr>
        <w:tc>
          <w:tcPr>
            <w:tcW w:w="3573" w:type="dxa"/>
            <w:vAlign w:val="center"/>
          </w:tcPr>
          <w:p w:rsidR="00E362F4" w:rsidRPr="00E362F4" w:rsidRDefault="00E362F4" w:rsidP="00E362F4">
            <w:pPr>
              <w:snapToGrid w:val="0"/>
              <w:spacing w:line="300" w:lineRule="exact"/>
              <w:jc w:val="center"/>
              <w:rPr>
                <w:rFonts w:ascii="黑体" w:eastAsia="黑体" w:hAnsi="黑体" w:cs="Times New Roman"/>
                <w:sz w:val="24"/>
                <w:szCs w:val="21"/>
              </w:rPr>
            </w:pPr>
            <w:r w:rsidRPr="00E362F4">
              <w:rPr>
                <w:rFonts w:ascii="黑体" w:eastAsia="黑体" w:hAnsi="黑体" w:cs="Times New Roman" w:hint="eastAsia"/>
                <w:sz w:val="24"/>
                <w:szCs w:val="21"/>
              </w:rPr>
              <w:t>产品种类</w:t>
            </w:r>
          </w:p>
        </w:tc>
        <w:tc>
          <w:tcPr>
            <w:tcW w:w="6405" w:type="dxa"/>
            <w:vAlign w:val="center"/>
          </w:tcPr>
          <w:p w:rsidR="00E362F4" w:rsidRPr="00E362F4" w:rsidRDefault="00E362F4" w:rsidP="00E362F4">
            <w:pPr>
              <w:snapToGrid w:val="0"/>
              <w:spacing w:line="300" w:lineRule="exact"/>
              <w:jc w:val="center"/>
              <w:rPr>
                <w:rFonts w:ascii="黑体" w:eastAsia="黑体" w:hAnsi="黑体" w:cs="Times New Roman"/>
                <w:sz w:val="24"/>
                <w:szCs w:val="21"/>
              </w:rPr>
            </w:pPr>
            <w:r w:rsidRPr="00E362F4">
              <w:rPr>
                <w:rFonts w:ascii="黑体" w:eastAsia="黑体" w:hAnsi="黑体" w:cs="Times New Roman" w:hint="eastAsia"/>
                <w:sz w:val="24"/>
                <w:szCs w:val="21"/>
              </w:rPr>
              <w:t>产品种类描述</w:t>
            </w:r>
          </w:p>
        </w:tc>
      </w:tr>
      <w:tr w:rsidR="00E362F4" w:rsidRPr="00E362F4" w:rsidTr="002A5523">
        <w:trPr>
          <w:trHeight w:val="777"/>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配电板、配电箱、计量箱</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一种带有开关或保护器件（例如熔断器或小型断路器），并带有由一条或多条进出线电路，以及用来连接中性导体和保护电路导体端子的成套设备。它也可以带有信号和其他控制器件。绝缘设备可以包括在内，也可以单独提供。此配电板适用于民用（家用）或在非专业人员可以进入的场地使用。</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宋体" w:cs="Times New Roman"/>
                <w:sz w:val="24"/>
                <w:szCs w:val="24"/>
              </w:rPr>
            </w:pPr>
            <w:r w:rsidRPr="00E362F4">
              <w:rPr>
                <w:rFonts w:ascii="仿宋_GB2312" w:eastAsia="仿宋_GB2312" w:hAnsi="Times New Roman" w:cs="宋体" w:hint="eastAsia"/>
                <w:kern w:val="0"/>
                <w:sz w:val="24"/>
                <w:szCs w:val="24"/>
              </w:rPr>
              <w:t>建筑工地用成套设备</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为建筑工地使用而设计和制造的组合装置。该组合装置是由一个或多个变压器或开关连同其控制、测量、信号、保护和调节以及内部电气、机械连接件和结构件而组成。此建筑工地是指公众一般不进入的临时工作场地，以及建筑施工、安装、修理、改建、地产（建筑物）拆除、土木工程（公共建筑）、挖掘或任何其他类似的工作场地。此类成套设备可以是可运输式的（半固定式的）或可迁移式的。</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动力配电网用电缆分线箱</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一种通过电缆从一个或多个变电站电缆配电盘接收电能并通过一条或多条电缆将此电能分配给其他设备的箱式成套设备。</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低压抽出式成套开关设备</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功能单元采用可抽出式连接的低压成套开关设备。</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低压固定封闭式成套开关设备</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功能单元采用固定连接的低压成套开关设备</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低压无功功率补偿装置</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由一个或多个低压开关设备、低压电容器和与之相关的控制、测量、信号、保护、调节设备，由制造商完成所有内部的电气和机械的连接，内部的电气和机械的连接，用结构部件完整地组装在一起的一种组合体。</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集中补偿装置</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将低压无功功率补偿装置安装在变电所对无功功率进行集中补偿的装置。</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分组补偿装置</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highlight w:val="yellow"/>
              </w:rPr>
            </w:pPr>
            <w:r w:rsidRPr="00E362F4">
              <w:rPr>
                <w:rFonts w:ascii="仿宋_GB2312" w:eastAsia="仿宋_GB2312" w:hAnsi="Times New Roman" w:cs="宋体" w:hint="eastAsia"/>
                <w:kern w:val="0"/>
                <w:sz w:val="24"/>
                <w:szCs w:val="24"/>
              </w:rPr>
              <w:t>将低压无功功率补偿装置安装在功率因数较低的用电单元或母线上，对配电系统中的一部分（区域）无功功率进行分段（区域）补偿的装置。</w:t>
            </w:r>
          </w:p>
        </w:tc>
      </w:tr>
      <w:tr w:rsidR="00E362F4" w:rsidRPr="00E362F4" w:rsidTr="002A5523">
        <w:trPr>
          <w:trHeight w:val="846"/>
          <w:jc w:val="center"/>
        </w:trPr>
        <w:tc>
          <w:tcPr>
            <w:tcW w:w="3573" w:type="dxa"/>
            <w:vAlign w:val="center"/>
          </w:tcPr>
          <w:p w:rsidR="00E362F4" w:rsidRPr="00E362F4" w:rsidRDefault="00E362F4" w:rsidP="00E362F4">
            <w:pPr>
              <w:autoSpaceDE w:val="0"/>
              <w:autoSpaceDN w:val="0"/>
              <w:adjustRightInd w:val="0"/>
              <w:spacing w:line="300" w:lineRule="exact"/>
              <w:jc w:val="center"/>
              <w:rPr>
                <w:rFonts w:ascii="仿宋_GB2312" w:eastAsia="仿宋_GB2312" w:hAnsi="Times New Roman" w:cs="宋体"/>
                <w:kern w:val="0"/>
                <w:sz w:val="24"/>
                <w:szCs w:val="24"/>
              </w:rPr>
            </w:pPr>
            <w:r w:rsidRPr="00E362F4">
              <w:rPr>
                <w:rFonts w:ascii="仿宋_GB2312" w:eastAsia="仿宋_GB2312" w:hAnsi="Times New Roman" w:cs="宋体" w:hint="eastAsia"/>
                <w:kern w:val="0"/>
                <w:sz w:val="24"/>
                <w:szCs w:val="24"/>
              </w:rPr>
              <w:t>末端补偿箱</w:t>
            </w:r>
          </w:p>
        </w:tc>
        <w:tc>
          <w:tcPr>
            <w:tcW w:w="6405" w:type="dxa"/>
            <w:vAlign w:val="center"/>
          </w:tcPr>
          <w:p w:rsidR="00E362F4" w:rsidRPr="00E362F4" w:rsidRDefault="00E362F4" w:rsidP="00E362F4">
            <w:pPr>
              <w:autoSpaceDE w:val="0"/>
              <w:autoSpaceDN w:val="0"/>
              <w:adjustRightInd w:val="0"/>
              <w:spacing w:line="300" w:lineRule="exact"/>
              <w:rPr>
                <w:rFonts w:ascii="仿宋_GB2312" w:eastAsia="仿宋_GB2312" w:hAnsi="Times New Roman" w:cs="宋体"/>
                <w:kern w:val="0"/>
                <w:sz w:val="24"/>
                <w:szCs w:val="24"/>
                <w:highlight w:val="yellow"/>
              </w:rPr>
            </w:pPr>
            <w:r w:rsidRPr="00E362F4">
              <w:rPr>
                <w:rFonts w:ascii="仿宋_GB2312" w:eastAsia="仿宋_GB2312" w:hAnsi="Times New Roman" w:cs="宋体" w:hint="eastAsia"/>
                <w:kern w:val="0"/>
                <w:sz w:val="24"/>
                <w:szCs w:val="24"/>
              </w:rPr>
              <w:t>将低压无功功率补偿装置直接安装在感性用电设备附近对对无功功率进行集中补偿的装置。</w:t>
            </w:r>
          </w:p>
        </w:tc>
      </w:tr>
    </w:tbl>
    <w:p w:rsidR="00E362F4" w:rsidRPr="00E362F4" w:rsidRDefault="00E362F4" w:rsidP="00E362F4">
      <w:pPr>
        <w:snapToGrid w:val="0"/>
        <w:spacing w:line="360" w:lineRule="auto"/>
        <w:rPr>
          <w:rFonts w:ascii="宋体" w:eastAsia="宋体" w:hAnsi="宋体" w:cs="Times New Roman"/>
          <w:b/>
          <w:sz w:val="24"/>
          <w:szCs w:val="24"/>
        </w:rPr>
      </w:pPr>
    </w:p>
    <w:p w:rsidR="00E362F4" w:rsidRPr="00E362F4" w:rsidRDefault="00E362F4" w:rsidP="00E362F4">
      <w:pPr>
        <w:snapToGrid w:val="0"/>
        <w:spacing w:line="360" w:lineRule="auto"/>
        <w:rPr>
          <w:rFonts w:ascii="黑体" w:eastAsia="黑体" w:hAnsi="黑体" w:cs="Times New Roman"/>
          <w:sz w:val="28"/>
          <w:szCs w:val="24"/>
        </w:rPr>
      </w:pPr>
      <w:r w:rsidRPr="00E362F4">
        <w:rPr>
          <w:rFonts w:ascii="黑体" w:eastAsia="黑体" w:hAnsi="黑体" w:cs="Times New Roman" w:hint="eastAsia"/>
          <w:sz w:val="28"/>
          <w:szCs w:val="24"/>
        </w:rPr>
        <w:t>4  检验依据</w:t>
      </w:r>
      <w:r w:rsidRPr="00E362F4">
        <w:rPr>
          <w:rFonts w:ascii="黑体" w:eastAsia="黑体" w:hAnsi="黑体" w:cs="Times New Roman"/>
          <w:sz w:val="28"/>
          <w:szCs w:val="24"/>
        </w:rPr>
        <w:tab/>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bookmarkStart w:id="0" w:name="OLE_LINK2"/>
      <w:r w:rsidRPr="00E362F4">
        <w:rPr>
          <w:rFonts w:ascii="仿宋_GB2312" w:eastAsia="仿宋_GB2312" w:hAnsi="Times New Roman" w:cs="Times New Roman" w:hint="eastAsia"/>
          <w:sz w:val="28"/>
          <w:szCs w:val="24"/>
        </w:rPr>
        <w:t>下列文件凡是注明日期的，其随后所有的修改单或修订版均不适用于本细则。凡是不注明日期的，其最新版本适用于本细则。</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GB/T 7251.1－2013  低压成套开关设备和控制设备 第1部分：总则</w:t>
      </w:r>
    </w:p>
    <w:p w:rsidR="00E362F4" w:rsidRPr="00E362F4" w:rsidRDefault="00E362F4" w:rsidP="00E362F4">
      <w:pPr>
        <w:snapToGrid w:val="0"/>
        <w:spacing w:line="360" w:lineRule="auto"/>
        <w:ind w:firstLineChars="200" w:firstLine="560"/>
        <w:jc w:val="left"/>
        <w:rPr>
          <w:rFonts w:ascii="仿宋_GB2312" w:eastAsia="仿宋_GB2312" w:hAnsi="Times New Roman" w:cs="Times New Roman"/>
          <w:sz w:val="28"/>
          <w:szCs w:val="24"/>
        </w:rPr>
      </w:pPr>
      <w:r w:rsidRPr="00E362F4">
        <w:rPr>
          <w:rFonts w:ascii="仿宋_GB2312" w:eastAsia="仿宋_GB2312" w:hAnsi="Times New Roman" w:cs="Times New Roman"/>
          <w:sz w:val="28"/>
          <w:szCs w:val="24"/>
        </w:rPr>
        <w:t>GB/T 10233-20</w:t>
      </w:r>
      <w:r w:rsidRPr="00E362F4">
        <w:rPr>
          <w:rFonts w:ascii="仿宋_GB2312" w:eastAsia="仿宋_GB2312" w:hAnsi="Times New Roman" w:cs="Times New Roman" w:hint="eastAsia"/>
          <w:sz w:val="28"/>
          <w:szCs w:val="24"/>
        </w:rPr>
        <w:t>16  低压成套开关设备和电控设备基本试验方法</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GB/T 7251.3－2006  低压成套开关设备和控制设备 第3部分：对非专业人员可进入场地的低压成套设备和控制设备——配电板的特殊要求</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GB/T 7251.4－2006  低压成套开关设备和控制设备 第4部分：对建筑工地用成套设备（ACS）的特殊要求</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GB/T 7251.5－2008  低压成套开关设备和控制设备 第5部分：对公用电网动力配电成套设备的特殊要求</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sz w:val="28"/>
          <w:szCs w:val="24"/>
        </w:rPr>
        <w:t>GB/T 7251.6-2015</w:t>
      </w:r>
      <w:r w:rsidRPr="00E362F4">
        <w:rPr>
          <w:rFonts w:ascii="仿宋_GB2312" w:eastAsia="仿宋_GB2312" w:hAnsi="Times New Roman" w:cs="Times New Roman" w:hint="eastAsia"/>
          <w:sz w:val="28"/>
          <w:szCs w:val="24"/>
        </w:rPr>
        <w:t xml:space="preserve"> 低压成套开关设备和控制设备 第6部分：母线干线系统（母线槽）</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sz w:val="28"/>
          <w:szCs w:val="24"/>
        </w:rPr>
        <w:t>GB/T 7251.7-2015</w:t>
      </w:r>
      <w:r w:rsidRPr="00E362F4">
        <w:rPr>
          <w:rFonts w:ascii="仿宋_GB2312" w:eastAsia="仿宋_GB2312" w:hAnsi="Times New Roman" w:cs="Times New Roman" w:hint="eastAsia"/>
          <w:sz w:val="28"/>
          <w:szCs w:val="24"/>
        </w:rPr>
        <w:t xml:space="preserve"> 低压成套开关设备和控制设备 第7部分：特定应用的成套设备--如码头、露营地、市集广场、电动车辆充电站</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sz w:val="28"/>
          <w:szCs w:val="24"/>
        </w:rPr>
        <w:t>GB/T 7251.8-2005</w:t>
      </w:r>
      <w:r w:rsidRPr="00E362F4">
        <w:rPr>
          <w:rFonts w:ascii="仿宋_GB2312" w:eastAsia="仿宋_GB2312" w:hAnsi="Times New Roman" w:cs="Times New Roman" w:hint="eastAsia"/>
          <w:sz w:val="28"/>
          <w:szCs w:val="24"/>
        </w:rPr>
        <w:t xml:space="preserve"> 低压成套开关设备和控制设备 智能型成套设备通用技术要求</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GB/T 7251.12-2013低压成套开关设备和控制设备 第2部分：成套电力开关和控制设备</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JB/T 9661-1999   低压抽出式成套开关设备</w:t>
      </w:r>
    </w:p>
    <w:p w:rsidR="00E362F4" w:rsidRPr="00E362F4" w:rsidRDefault="00E362F4" w:rsidP="00E362F4">
      <w:pPr>
        <w:snapToGrid w:val="0"/>
        <w:spacing w:line="360" w:lineRule="auto"/>
        <w:ind w:firstLineChars="192" w:firstLine="538"/>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JB/T 5877－2002  低压固定封闭式成套开关设备</w:t>
      </w:r>
    </w:p>
    <w:p w:rsidR="00E362F4" w:rsidRPr="00E362F4" w:rsidRDefault="00E362F4" w:rsidP="00E362F4">
      <w:pPr>
        <w:snapToGrid w:val="0"/>
        <w:spacing w:line="360" w:lineRule="auto"/>
        <w:ind w:firstLineChars="200" w:firstLine="560"/>
        <w:outlineLvl w:val="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GB/T 15576-2008  低压无功功率补偿装置</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相关产品的明示标准（包括备案的企业标准）。</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企业产品技术条件、图样、安装维护使用说明书（明示标准）。</w:t>
      </w:r>
    </w:p>
    <w:bookmarkEnd w:id="0"/>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p>
    <w:p w:rsidR="00E362F4" w:rsidRPr="00E362F4" w:rsidRDefault="00E362F4" w:rsidP="00E362F4">
      <w:pPr>
        <w:snapToGrid w:val="0"/>
        <w:spacing w:line="360" w:lineRule="auto"/>
        <w:rPr>
          <w:rFonts w:ascii="黑体" w:eastAsia="黑体" w:hAnsi="黑体" w:cs="Times New Roman"/>
          <w:sz w:val="28"/>
          <w:szCs w:val="24"/>
        </w:rPr>
      </w:pPr>
      <w:r w:rsidRPr="00E362F4">
        <w:rPr>
          <w:rFonts w:ascii="黑体" w:eastAsia="黑体" w:hAnsi="黑体" w:cs="Times New Roman" w:hint="eastAsia"/>
          <w:sz w:val="28"/>
          <w:szCs w:val="24"/>
        </w:rPr>
        <w:t>5  抽样</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5.1  抽样型号或规格</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低压成套开关设备和控制设备、低压无功功率补偿装置所涉及的型号规格产品。</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5.2  抽样方法</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在生产企业的成品库内、生产线末端随机抽取经企业检验合格或以任何方式表明已检验合格的并在国内销售的成品。</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5.3  抽样基数</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抽样基数应不少于抽取样品量。</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5.4  抽样数量</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对生产领域，在生产企业随机抽取1台样品。</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5.5  样品处置</w:t>
      </w:r>
    </w:p>
    <w:p w:rsidR="00E362F4" w:rsidRPr="00E362F4" w:rsidRDefault="00E362F4" w:rsidP="00E362F4">
      <w:pPr>
        <w:snapToGrid w:val="0"/>
        <w:spacing w:line="360" w:lineRule="auto"/>
        <w:rPr>
          <w:rFonts w:ascii="仿宋_GB2312" w:eastAsia="仿宋_GB2312" w:hAnsi="Times New Roman" w:cs="Times New Roman"/>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Times New Roman" w:cs="Times New Roman" w:hint="eastAsia"/>
            <w:b/>
            <w:sz w:val="28"/>
            <w:szCs w:val="24"/>
          </w:rPr>
          <w:t>5.5.1</w:t>
        </w:r>
      </w:smartTag>
      <w:r w:rsidRPr="00E362F4">
        <w:rPr>
          <w:rFonts w:ascii="仿宋_GB2312" w:eastAsia="仿宋_GB2312" w:hAnsi="Times New Roman" w:cs="Times New Roman" w:hint="eastAsia"/>
          <w:sz w:val="28"/>
          <w:szCs w:val="24"/>
        </w:rPr>
        <w:t xml:space="preserve"> 被抽查样品应贴封条和防拆封措施，以保证其完整性、真实性，包括附在样品上的使用说明及其他信息。如样品标签上标明特殊储存或搬运要求，样品应按要求进行处置。</w:t>
      </w:r>
    </w:p>
    <w:p w:rsidR="00E362F4" w:rsidRPr="00E362F4" w:rsidRDefault="00E362F4" w:rsidP="00E362F4">
      <w:pPr>
        <w:snapToGrid w:val="0"/>
        <w:spacing w:line="360" w:lineRule="auto"/>
        <w:rPr>
          <w:rFonts w:ascii="仿宋_GB2312" w:eastAsia="仿宋_GB2312" w:hAnsi="Times New Roman" w:cs="Times New Roman"/>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Times New Roman" w:cs="Times New Roman" w:hint="eastAsia"/>
            <w:b/>
            <w:sz w:val="28"/>
            <w:szCs w:val="24"/>
          </w:rPr>
          <w:t>5.5.2</w:t>
        </w:r>
      </w:smartTag>
      <w:r w:rsidRPr="00E362F4">
        <w:rPr>
          <w:rFonts w:ascii="仿宋_GB2312" w:eastAsia="仿宋_GB2312" w:hAnsi="Times New Roman" w:cs="Times New Roman" w:hint="eastAsia"/>
          <w:sz w:val="28"/>
          <w:szCs w:val="24"/>
        </w:rPr>
        <w:t xml:space="preserve"> 样品由抽样人负责送至指定的检验机构相关部门，如有必要，也可由抽样人员指定被抽查单位在规定时间内送到指定的检验机构相关部门。</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5.6  抽样单</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应按有关规定填写抽样单，并记录被抽查产品及企业相关信息。同时记录被抽查企业上一年度生产的该产品销售总额，以万元计。若上一年度没有生产该产品，那么以本年度已实际生产的该产品销售额来统计。</w:t>
      </w:r>
    </w:p>
    <w:p w:rsidR="00E362F4" w:rsidRPr="00E362F4" w:rsidRDefault="00E362F4" w:rsidP="00E362F4">
      <w:pPr>
        <w:snapToGrid w:val="0"/>
        <w:spacing w:line="360" w:lineRule="auto"/>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5.7  备注</w:t>
      </w:r>
    </w:p>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r w:rsidRPr="00E362F4">
        <w:rPr>
          <w:rFonts w:ascii="仿宋_GB2312" w:eastAsia="仿宋_GB2312" w:hAnsi="Times New Roman" w:cs="Times New Roman" w:hint="eastAsia"/>
          <w:sz w:val="28"/>
          <w:szCs w:val="24"/>
        </w:rPr>
        <w:t>抽取低压成套开关设备和控制设备、低压无功功率补偿装置时，需要的附件包括设备合格证、出厂试验报告、产品式样书或技术要求（如果需要时）。</w:t>
      </w:r>
    </w:p>
    <w:p w:rsidR="00E362F4" w:rsidRPr="00E362F4" w:rsidRDefault="00E362F4" w:rsidP="00E362F4">
      <w:pPr>
        <w:snapToGrid w:val="0"/>
        <w:spacing w:line="360" w:lineRule="auto"/>
        <w:outlineLvl w:val="0"/>
        <w:rPr>
          <w:rFonts w:ascii="黑体" w:eastAsia="黑体" w:hAnsi="黑体" w:cs="Times New Roman"/>
          <w:sz w:val="28"/>
          <w:szCs w:val="24"/>
        </w:rPr>
      </w:pPr>
      <w:r w:rsidRPr="00E362F4">
        <w:rPr>
          <w:rFonts w:ascii="黑体" w:eastAsia="黑体" w:hAnsi="黑体" w:cs="Times New Roman" w:hint="eastAsia"/>
          <w:sz w:val="28"/>
          <w:szCs w:val="24"/>
        </w:rPr>
        <w:t>6  检验要求</w:t>
      </w: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6.1  检验项目</w:t>
      </w:r>
    </w:p>
    <w:p w:rsidR="00E362F4" w:rsidRPr="00E362F4" w:rsidRDefault="00E362F4" w:rsidP="00E362F4">
      <w:pPr>
        <w:snapToGrid w:val="0"/>
        <w:spacing w:line="360" w:lineRule="auto"/>
        <w:rPr>
          <w:rFonts w:ascii="楷体_GB2312" w:eastAsia="楷体_GB2312" w:hAnsi="黑体" w:cs="Times New Roman"/>
          <w:b/>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楷体_GB2312" w:eastAsia="楷体_GB2312" w:hAnsi="黑体" w:cs="Times New Roman"/>
            <w:b/>
            <w:sz w:val="28"/>
            <w:szCs w:val="24"/>
          </w:rPr>
          <w:t>6.1.1</w:t>
        </w:r>
      </w:smartTag>
      <w:r w:rsidRPr="00E362F4">
        <w:rPr>
          <w:rFonts w:ascii="楷体_GB2312" w:eastAsia="楷体_GB2312" w:hAnsi="黑体" w:cs="Times New Roman" w:hint="eastAsia"/>
          <w:b/>
          <w:sz w:val="28"/>
          <w:szCs w:val="24"/>
        </w:rPr>
        <w:t xml:space="preserve">  低压成套开关设备和控制设备</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2410"/>
        <w:gridCol w:w="2551"/>
        <w:gridCol w:w="992"/>
        <w:gridCol w:w="2410"/>
        <w:gridCol w:w="1276"/>
      </w:tblGrid>
      <w:tr w:rsidR="00E362F4" w:rsidRPr="00E362F4" w:rsidTr="002A5523">
        <w:trPr>
          <w:cantSplit/>
          <w:trHeight w:val="550"/>
          <w:tblHeader/>
          <w:jc w:val="center"/>
        </w:trPr>
        <w:tc>
          <w:tcPr>
            <w:tcW w:w="704"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序号</w:t>
            </w:r>
          </w:p>
        </w:tc>
        <w:tc>
          <w:tcPr>
            <w:tcW w:w="2410"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检验项目</w:t>
            </w:r>
          </w:p>
        </w:tc>
        <w:tc>
          <w:tcPr>
            <w:tcW w:w="2551" w:type="dxa"/>
            <w:vAlign w:val="center"/>
          </w:tcPr>
          <w:p w:rsidR="00E362F4" w:rsidRPr="00E362F4" w:rsidRDefault="00E362F4" w:rsidP="00E362F4">
            <w:pPr>
              <w:widowControl/>
              <w:snapToGrid w:val="0"/>
              <w:jc w:val="center"/>
              <w:rPr>
                <w:rFonts w:ascii="黑体" w:eastAsia="黑体" w:hAnsi="黑体" w:cs="Times New Roman"/>
                <w:sz w:val="24"/>
                <w:szCs w:val="24"/>
              </w:rPr>
            </w:pPr>
            <w:r w:rsidRPr="00E362F4">
              <w:rPr>
                <w:rFonts w:ascii="黑体" w:eastAsia="黑体" w:hAnsi="黑体" w:cs="Times New Roman" w:hint="eastAsia"/>
                <w:sz w:val="24"/>
                <w:szCs w:val="24"/>
              </w:rPr>
              <w:t>依据法律法规或</w:t>
            </w:r>
          </w:p>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sz w:val="24"/>
                <w:szCs w:val="24"/>
              </w:rPr>
              <w:t>标准条款</w:t>
            </w:r>
          </w:p>
        </w:tc>
        <w:tc>
          <w:tcPr>
            <w:tcW w:w="992"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强制性/推荐性</w:t>
            </w:r>
          </w:p>
        </w:tc>
        <w:tc>
          <w:tcPr>
            <w:tcW w:w="2410"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检测方法</w:t>
            </w:r>
          </w:p>
        </w:tc>
        <w:tc>
          <w:tcPr>
            <w:tcW w:w="1276"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复检样品</w:t>
            </w:r>
          </w:p>
        </w:tc>
      </w:tr>
      <w:tr w:rsidR="00E362F4" w:rsidRPr="00E362F4" w:rsidTr="002A5523">
        <w:trPr>
          <w:cantSplit/>
          <w:trHeight w:val="411"/>
          <w:jc w:val="center"/>
        </w:trPr>
        <w:tc>
          <w:tcPr>
            <w:tcW w:w="704"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1</w:t>
            </w:r>
          </w:p>
        </w:tc>
        <w:tc>
          <w:tcPr>
            <w:tcW w:w="2410"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标志</w:t>
            </w:r>
          </w:p>
        </w:tc>
        <w:tc>
          <w:tcPr>
            <w:tcW w:w="2551"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6</w:t>
            </w:r>
          </w:p>
        </w:tc>
        <w:tc>
          <w:tcPr>
            <w:tcW w:w="992"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推荐性</w:t>
            </w:r>
          </w:p>
        </w:tc>
        <w:tc>
          <w:tcPr>
            <w:tcW w:w="2410"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6</w:t>
            </w:r>
          </w:p>
        </w:tc>
        <w:tc>
          <w:tcPr>
            <w:tcW w:w="1276"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2</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布线、操作性能和功能</w:t>
            </w:r>
          </w:p>
        </w:tc>
        <w:tc>
          <w:tcPr>
            <w:tcW w:w="2551"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11.10</w:t>
            </w:r>
          </w:p>
        </w:tc>
        <w:tc>
          <w:tcPr>
            <w:tcW w:w="992"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11.10</w:t>
            </w:r>
          </w:p>
        </w:tc>
        <w:tc>
          <w:tcPr>
            <w:tcW w:w="1276"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3</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成套设备的防护等级</w:t>
            </w:r>
          </w:p>
        </w:tc>
        <w:tc>
          <w:tcPr>
            <w:tcW w:w="2551"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10.3</w:t>
            </w:r>
          </w:p>
        </w:tc>
        <w:tc>
          <w:tcPr>
            <w:tcW w:w="992"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10.3</w:t>
            </w:r>
          </w:p>
        </w:tc>
        <w:tc>
          <w:tcPr>
            <w:tcW w:w="1276"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4</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电气间隙与爬电距离</w:t>
            </w:r>
          </w:p>
        </w:tc>
        <w:tc>
          <w:tcPr>
            <w:tcW w:w="2551"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10.4</w:t>
            </w:r>
          </w:p>
        </w:tc>
        <w:tc>
          <w:tcPr>
            <w:tcW w:w="992"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10.4</w:t>
            </w:r>
          </w:p>
        </w:tc>
        <w:tc>
          <w:tcPr>
            <w:tcW w:w="1276"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5</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成套设备外露可导电部分与保护电路之间的有效接地的连续性</w:t>
            </w:r>
          </w:p>
        </w:tc>
        <w:tc>
          <w:tcPr>
            <w:tcW w:w="2551"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7251.1－2013  </w:t>
            </w:r>
            <w:smartTag w:uri="urn:schemas-microsoft-com:office:smarttags" w:element="chsdate">
              <w:smartTagPr>
                <w:attr w:name="IsROCDate" w:val="False"/>
                <w:attr w:name="IsLunarDate" w:val="False"/>
                <w:attr w:name="Day" w:val="30"/>
                <w:attr w:name="Month" w:val="12"/>
                <w:attr w:name="Year" w:val="1899"/>
              </w:smartTagPr>
              <w:r w:rsidRPr="00E362F4">
                <w:rPr>
                  <w:rFonts w:ascii="仿宋_GB2312" w:eastAsia="仿宋_GB2312" w:hAnsi="宋体" w:cs="Times New Roman" w:hint="eastAsia"/>
                  <w:bCs/>
                  <w:sz w:val="24"/>
                  <w:szCs w:val="21"/>
                </w:rPr>
                <w:t>10.5.2</w:t>
              </w:r>
            </w:smartTag>
          </w:p>
        </w:tc>
        <w:tc>
          <w:tcPr>
            <w:tcW w:w="992"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7251.1－2013  </w:t>
            </w:r>
            <w:smartTag w:uri="urn:schemas-microsoft-com:office:smarttags" w:element="chsdate">
              <w:smartTagPr>
                <w:attr w:name="IsROCDate" w:val="False"/>
                <w:attr w:name="IsLunarDate" w:val="False"/>
                <w:attr w:name="Day" w:val="30"/>
                <w:attr w:name="Month" w:val="12"/>
                <w:attr w:name="Year" w:val="1899"/>
              </w:smartTagPr>
              <w:r w:rsidRPr="00E362F4">
                <w:rPr>
                  <w:rFonts w:ascii="仿宋_GB2312" w:eastAsia="仿宋_GB2312" w:hAnsi="宋体" w:cs="Times New Roman" w:hint="eastAsia"/>
                  <w:bCs/>
                  <w:sz w:val="24"/>
                  <w:szCs w:val="21"/>
                </w:rPr>
                <w:t>10.5.2</w:t>
              </w:r>
            </w:smartTag>
          </w:p>
        </w:tc>
        <w:tc>
          <w:tcPr>
            <w:tcW w:w="1276"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6</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机械操作试验</w:t>
            </w:r>
          </w:p>
        </w:tc>
        <w:tc>
          <w:tcPr>
            <w:tcW w:w="2551"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10.13</w:t>
            </w:r>
          </w:p>
        </w:tc>
        <w:tc>
          <w:tcPr>
            <w:tcW w:w="992"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10.13</w:t>
            </w:r>
          </w:p>
        </w:tc>
        <w:tc>
          <w:tcPr>
            <w:tcW w:w="1276"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628"/>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7</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介电性能试验</w:t>
            </w:r>
          </w:p>
        </w:tc>
        <w:tc>
          <w:tcPr>
            <w:tcW w:w="2551"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10.9</w:t>
            </w:r>
          </w:p>
        </w:tc>
        <w:tc>
          <w:tcPr>
            <w:tcW w:w="992"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410"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7251.1－2013  10.9</w:t>
            </w:r>
          </w:p>
        </w:tc>
        <w:tc>
          <w:tcPr>
            <w:tcW w:w="1276"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628"/>
          <w:jc w:val="center"/>
        </w:trPr>
        <w:tc>
          <w:tcPr>
            <w:tcW w:w="10343" w:type="dxa"/>
            <w:gridSpan w:val="6"/>
            <w:vAlign w:val="center"/>
          </w:tcPr>
          <w:p w:rsidR="00E362F4" w:rsidRPr="00E362F4" w:rsidRDefault="00E362F4" w:rsidP="00E362F4">
            <w:pPr>
              <w:widowControl/>
              <w:snapToGrid w:val="0"/>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注：如因样品自身质量或其他不可抗拒原因导致检测过程中出现破坏性结果，原样品无法复检的情况下，复检须用备样检测。</w:t>
            </w:r>
          </w:p>
        </w:tc>
      </w:tr>
    </w:tbl>
    <w:p w:rsidR="00E362F4" w:rsidRPr="00E362F4" w:rsidRDefault="00E362F4" w:rsidP="00E362F4">
      <w:pPr>
        <w:snapToGrid w:val="0"/>
        <w:spacing w:line="360" w:lineRule="auto"/>
        <w:rPr>
          <w:rFonts w:ascii="楷体_GB2312" w:eastAsia="楷体_GB2312" w:hAnsi="黑体" w:cs="Times New Roman"/>
          <w:b/>
          <w:sz w:val="28"/>
          <w:szCs w:val="24"/>
        </w:rPr>
      </w:pPr>
    </w:p>
    <w:p w:rsidR="00E362F4" w:rsidRPr="00E362F4" w:rsidRDefault="00E362F4" w:rsidP="00E362F4">
      <w:pPr>
        <w:snapToGrid w:val="0"/>
        <w:spacing w:line="360" w:lineRule="auto"/>
        <w:rPr>
          <w:rFonts w:ascii="楷体_GB2312" w:eastAsia="楷体_GB2312" w:hAnsi="黑体" w:cs="Times New Roman"/>
          <w:b/>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楷体_GB2312" w:eastAsia="楷体_GB2312" w:hAnsi="黑体" w:cs="Times New Roman"/>
            <w:b/>
            <w:sz w:val="28"/>
            <w:szCs w:val="24"/>
          </w:rPr>
          <w:t>6.1.2</w:t>
        </w:r>
      </w:smartTag>
      <w:r w:rsidRPr="00E362F4">
        <w:rPr>
          <w:rFonts w:ascii="楷体_GB2312" w:eastAsia="楷体_GB2312" w:hAnsi="黑体" w:cs="Times New Roman" w:hint="eastAsia"/>
          <w:b/>
          <w:sz w:val="28"/>
          <w:szCs w:val="24"/>
        </w:rPr>
        <w:t xml:space="preserve">  低压无功功率补偿装置</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2268"/>
        <w:gridCol w:w="2694"/>
        <w:gridCol w:w="993"/>
        <w:gridCol w:w="2977"/>
        <w:gridCol w:w="1134"/>
      </w:tblGrid>
      <w:tr w:rsidR="00E362F4" w:rsidRPr="00E362F4" w:rsidTr="002A5523">
        <w:trPr>
          <w:cantSplit/>
          <w:trHeight w:val="550"/>
          <w:tblHeader/>
          <w:jc w:val="center"/>
        </w:trPr>
        <w:tc>
          <w:tcPr>
            <w:tcW w:w="704"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序号</w:t>
            </w:r>
          </w:p>
        </w:tc>
        <w:tc>
          <w:tcPr>
            <w:tcW w:w="2268"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检验项目</w:t>
            </w:r>
          </w:p>
        </w:tc>
        <w:tc>
          <w:tcPr>
            <w:tcW w:w="2694" w:type="dxa"/>
            <w:vAlign w:val="center"/>
          </w:tcPr>
          <w:p w:rsidR="00E362F4" w:rsidRPr="00E362F4" w:rsidRDefault="00E362F4" w:rsidP="00E362F4">
            <w:pPr>
              <w:widowControl/>
              <w:snapToGrid w:val="0"/>
              <w:jc w:val="center"/>
              <w:rPr>
                <w:rFonts w:ascii="黑体" w:eastAsia="黑体" w:hAnsi="黑体" w:cs="Times New Roman"/>
                <w:sz w:val="24"/>
                <w:szCs w:val="24"/>
              </w:rPr>
            </w:pPr>
            <w:r w:rsidRPr="00E362F4">
              <w:rPr>
                <w:rFonts w:ascii="黑体" w:eastAsia="黑体" w:hAnsi="黑体" w:cs="Times New Roman" w:hint="eastAsia"/>
                <w:sz w:val="24"/>
                <w:szCs w:val="24"/>
              </w:rPr>
              <w:t>依据法律法规或</w:t>
            </w:r>
          </w:p>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sz w:val="24"/>
                <w:szCs w:val="24"/>
              </w:rPr>
              <w:t>标准条款</w:t>
            </w:r>
          </w:p>
        </w:tc>
        <w:tc>
          <w:tcPr>
            <w:tcW w:w="993"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强制性/推荐性</w:t>
            </w:r>
          </w:p>
        </w:tc>
        <w:tc>
          <w:tcPr>
            <w:tcW w:w="2977"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检测方法</w:t>
            </w:r>
          </w:p>
        </w:tc>
        <w:tc>
          <w:tcPr>
            <w:tcW w:w="1134" w:type="dxa"/>
            <w:vAlign w:val="center"/>
          </w:tcPr>
          <w:p w:rsidR="00E362F4" w:rsidRPr="00E362F4" w:rsidRDefault="00E362F4" w:rsidP="00E362F4">
            <w:pPr>
              <w:widowControl/>
              <w:snapToGrid w:val="0"/>
              <w:jc w:val="center"/>
              <w:rPr>
                <w:rFonts w:ascii="黑体" w:eastAsia="黑体" w:hAnsi="黑体" w:cs="Times New Roman"/>
                <w:bCs/>
                <w:sz w:val="24"/>
                <w:szCs w:val="24"/>
              </w:rPr>
            </w:pPr>
            <w:r w:rsidRPr="00E362F4">
              <w:rPr>
                <w:rFonts w:ascii="黑体" w:eastAsia="黑体" w:hAnsi="黑体" w:cs="Times New Roman" w:hint="eastAsia"/>
                <w:bCs/>
                <w:sz w:val="24"/>
                <w:szCs w:val="24"/>
              </w:rPr>
              <w:t>复检样品</w:t>
            </w:r>
          </w:p>
        </w:tc>
      </w:tr>
      <w:tr w:rsidR="00E362F4" w:rsidRPr="00E362F4" w:rsidTr="002A5523">
        <w:trPr>
          <w:cantSplit/>
          <w:trHeight w:val="411"/>
          <w:jc w:val="center"/>
        </w:trPr>
        <w:tc>
          <w:tcPr>
            <w:tcW w:w="704"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1</w:t>
            </w:r>
          </w:p>
        </w:tc>
        <w:tc>
          <w:tcPr>
            <w:tcW w:w="2268"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一般检查</w:t>
            </w:r>
          </w:p>
        </w:tc>
        <w:tc>
          <w:tcPr>
            <w:tcW w:w="2694"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7.1</w:t>
            </w:r>
          </w:p>
        </w:tc>
        <w:tc>
          <w:tcPr>
            <w:tcW w:w="993"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推荐性</w:t>
            </w:r>
          </w:p>
        </w:tc>
        <w:tc>
          <w:tcPr>
            <w:tcW w:w="2977"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7.1</w:t>
            </w:r>
          </w:p>
        </w:tc>
        <w:tc>
          <w:tcPr>
            <w:tcW w:w="1134" w:type="dxa"/>
            <w:tcBorders>
              <w:top w:val="single" w:sz="2" w:space="0" w:color="auto"/>
            </w:tcBorders>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2</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通电操作试验</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7.2</w:t>
            </w:r>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7.2</w:t>
            </w:r>
          </w:p>
        </w:tc>
        <w:tc>
          <w:tcPr>
            <w:tcW w:w="1134" w:type="dxa"/>
            <w:vAlign w:val="center"/>
          </w:tcPr>
          <w:p w:rsidR="00E362F4" w:rsidRPr="00E362F4" w:rsidRDefault="00E362F4" w:rsidP="00E362F4">
            <w:pPr>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3</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绝缘电阻验证</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15576-2008 </w:t>
            </w: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宋体" w:cs="Times New Roman" w:hint="eastAsia"/>
                  <w:bCs/>
                  <w:sz w:val="24"/>
                  <w:szCs w:val="21"/>
                </w:rPr>
                <w:t>7.5.2</w:t>
              </w:r>
            </w:smartTag>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15576-2008 </w:t>
            </w: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宋体" w:cs="Times New Roman" w:hint="eastAsia"/>
                  <w:bCs/>
                  <w:sz w:val="24"/>
                  <w:szCs w:val="21"/>
                </w:rPr>
                <w:t>7.5.2</w:t>
              </w:r>
            </w:smartTag>
          </w:p>
        </w:tc>
        <w:tc>
          <w:tcPr>
            <w:tcW w:w="113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4</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介电强度试验</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15576-2008 </w:t>
            </w: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宋体" w:cs="Times New Roman" w:hint="eastAsia"/>
                  <w:bCs/>
                  <w:sz w:val="24"/>
                  <w:szCs w:val="21"/>
                </w:rPr>
                <w:t>7.5.3</w:t>
              </w:r>
            </w:smartTag>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15576-2008 </w:t>
            </w: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宋体" w:cs="Times New Roman" w:hint="eastAsia"/>
                  <w:bCs/>
                  <w:sz w:val="24"/>
                  <w:szCs w:val="21"/>
                </w:rPr>
                <w:t>7.5.3</w:t>
              </w:r>
            </w:smartTag>
          </w:p>
        </w:tc>
        <w:tc>
          <w:tcPr>
            <w:tcW w:w="1134" w:type="dxa"/>
            <w:vAlign w:val="center"/>
          </w:tcPr>
          <w:p w:rsidR="00E362F4" w:rsidRPr="00E362F4" w:rsidRDefault="00E362F4" w:rsidP="00E362F4">
            <w:pPr>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5</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工频过电压保护试验</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7.11</w:t>
            </w:r>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7.11</w:t>
            </w:r>
          </w:p>
        </w:tc>
        <w:tc>
          <w:tcPr>
            <w:tcW w:w="113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0"/>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6</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放电试验</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7.12</w:t>
            </w:r>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7.12</w:t>
            </w:r>
          </w:p>
        </w:tc>
        <w:tc>
          <w:tcPr>
            <w:tcW w:w="1134" w:type="dxa"/>
            <w:vAlign w:val="center"/>
          </w:tcPr>
          <w:p w:rsidR="00E362F4" w:rsidRPr="00E362F4" w:rsidRDefault="00E362F4" w:rsidP="00E362F4">
            <w:pPr>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86"/>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7</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机械操作试验</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7.4</w:t>
            </w:r>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7.4</w:t>
            </w:r>
          </w:p>
        </w:tc>
        <w:tc>
          <w:tcPr>
            <w:tcW w:w="113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22"/>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8</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保护电路有效性</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15576-2008 </w:t>
            </w: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宋体" w:cs="Times New Roman" w:hint="eastAsia"/>
                  <w:bCs/>
                  <w:sz w:val="24"/>
                  <w:szCs w:val="21"/>
                </w:rPr>
                <w:t>7.6.1</w:t>
              </w:r>
            </w:smartTag>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 xml:space="preserve">GB/T 15576-2008 </w:t>
            </w: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宋体" w:cs="Times New Roman" w:hint="eastAsia"/>
                  <w:bCs/>
                  <w:sz w:val="24"/>
                  <w:szCs w:val="21"/>
                </w:rPr>
                <w:t>7.6.1</w:t>
              </w:r>
            </w:smartTag>
          </w:p>
        </w:tc>
        <w:tc>
          <w:tcPr>
            <w:tcW w:w="1134" w:type="dxa"/>
            <w:vAlign w:val="center"/>
          </w:tcPr>
          <w:p w:rsidR="00E362F4" w:rsidRPr="00E362F4" w:rsidRDefault="00E362F4" w:rsidP="00E362F4">
            <w:pPr>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1"/>
          <w:jc w:val="center"/>
        </w:trPr>
        <w:tc>
          <w:tcPr>
            <w:tcW w:w="70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9</w:t>
            </w:r>
          </w:p>
        </w:tc>
        <w:tc>
          <w:tcPr>
            <w:tcW w:w="2268"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防护等级</w:t>
            </w:r>
          </w:p>
        </w:tc>
        <w:tc>
          <w:tcPr>
            <w:tcW w:w="269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7.7</w:t>
            </w:r>
          </w:p>
        </w:tc>
        <w:tc>
          <w:tcPr>
            <w:tcW w:w="993" w:type="dxa"/>
            <w:vAlign w:val="center"/>
          </w:tcPr>
          <w:p w:rsidR="00E362F4" w:rsidRPr="00E362F4" w:rsidRDefault="00E362F4" w:rsidP="00E362F4">
            <w:pPr>
              <w:jc w:val="center"/>
              <w:rPr>
                <w:rFonts w:ascii="Times New Roman" w:eastAsia="宋体" w:hAnsi="Times New Roman" w:cs="Times New Roman"/>
                <w:szCs w:val="24"/>
              </w:rPr>
            </w:pPr>
            <w:r w:rsidRPr="00E362F4">
              <w:rPr>
                <w:rFonts w:ascii="仿宋_GB2312" w:eastAsia="仿宋_GB2312" w:hAnsi="宋体" w:cs="Times New Roman" w:hint="eastAsia"/>
                <w:bCs/>
                <w:sz w:val="24"/>
                <w:szCs w:val="21"/>
              </w:rPr>
              <w:t>推荐性</w:t>
            </w:r>
          </w:p>
        </w:tc>
        <w:tc>
          <w:tcPr>
            <w:tcW w:w="2977"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GB/T 15576-2008 7.7</w:t>
            </w:r>
          </w:p>
        </w:tc>
        <w:tc>
          <w:tcPr>
            <w:tcW w:w="1134" w:type="dxa"/>
            <w:vAlign w:val="center"/>
          </w:tcPr>
          <w:p w:rsidR="00E362F4" w:rsidRPr="00E362F4" w:rsidRDefault="00E362F4" w:rsidP="00E362F4">
            <w:pPr>
              <w:widowControl/>
              <w:snapToGrid w:val="0"/>
              <w:jc w:val="center"/>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原样</w:t>
            </w:r>
          </w:p>
        </w:tc>
      </w:tr>
      <w:tr w:rsidR="00E362F4" w:rsidRPr="00E362F4" w:rsidTr="002A5523">
        <w:trPr>
          <w:cantSplit/>
          <w:trHeight w:val="401"/>
          <w:jc w:val="center"/>
        </w:trPr>
        <w:tc>
          <w:tcPr>
            <w:tcW w:w="10770" w:type="dxa"/>
            <w:gridSpan w:val="6"/>
            <w:vAlign w:val="center"/>
          </w:tcPr>
          <w:p w:rsidR="00E362F4" w:rsidRPr="00E362F4" w:rsidRDefault="00E362F4" w:rsidP="00E362F4">
            <w:pPr>
              <w:widowControl/>
              <w:snapToGrid w:val="0"/>
              <w:rPr>
                <w:rFonts w:ascii="仿宋_GB2312" w:eastAsia="仿宋_GB2312" w:hAnsi="宋体" w:cs="Times New Roman"/>
                <w:bCs/>
                <w:sz w:val="24"/>
                <w:szCs w:val="21"/>
              </w:rPr>
            </w:pPr>
            <w:r w:rsidRPr="00E362F4">
              <w:rPr>
                <w:rFonts w:ascii="仿宋_GB2312" w:eastAsia="仿宋_GB2312" w:hAnsi="宋体" w:cs="Times New Roman" w:hint="eastAsia"/>
                <w:bCs/>
                <w:sz w:val="24"/>
                <w:szCs w:val="21"/>
              </w:rPr>
              <w:t>注：如因样品自身质量或其他不可抗拒原因导致检测过程中出现破坏性结果，原样品无法复检的情况下，复检须用备样检测。</w:t>
            </w:r>
          </w:p>
        </w:tc>
      </w:tr>
    </w:tbl>
    <w:p w:rsidR="00E362F4" w:rsidRPr="00E362F4" w:rsidRDefault="00E362F4" w:rsidP="00E362F4">
      <w:pPr>
        <w:snapToGrid w:val="0"/>
        <w:spacing w:line="360" w:lineRule="auto"/>
        <w:ind w:firstLineChars="200" w:firstLine="560"/>
        <w:rPr>
          <w:rFonts w:ascii="仿宋_GB2312" w:eastAsia="仿宋_GB2312" w:hAnsi="Times New Roman" w:cs="Times New Roman"/>
          <w:sz w:val="28"/>
          <w:szCs w:val="24"/>
        </w:rPr>
      </w:pPr>
    </w:p>
    <w:p w:rsidR="00E362F4" w:rsidRPr="00E362F4" w:rsidRDefault="00E362F4" w:rsidP="00E362F4">
      <w:pPr>
        <w:snapToGrid w:val="0"/>
        <w:spacing w:line="360" w:lineRule="auto"/>
        <w:outlineLvl w:val="0"/>
        <w:rPr>
          <w:rFonts w:ascii="楷体_GB2312" w:eastAsia="楷体_GB2312" w:hAnsi="黑体" w:cs="Times New Roman"/>
          <w:b/>
          <w:sz w:val="28"/>
          <w:szCs w:val="24"/>
        </w:rPr>
      </w:pPr>
      <w:r w:rsidRPr="00E362F4">
        <w:rPr>
          <w:rFonts w:ascii="楷体_GB2312" w:eastAsia="楷体_GB2312" w:hAnsi="黑体" w:cs="Times New Roman" w:hint="eastAsia"/>
          <w:b/>
          <w:sz w:val="28"/>
          <w:szCs w:val="24"/>
        </w:rPr>
        <w:t>6.2  检验应注意的问题</w:t>
      </w:r>
    </w:p>
    <w:p w:rsidR="00E362F4" w:rsidRPr="00E362F4" w:rsidRDefault="00E362F4" w:rsidP="00E362F4">
      <w:pPr>
        <w:snapToGrid w:val="0"/>
        <w:spacing w:line="360" w:lineRule="auto"/>
        <w:rPr>
          <w:rFonts w:ascii="仿宋_GB2312" w:eastAsia="仿宋_GB2312" w:hAnsi="Times New Roman" w:cs="Times New Roman"/>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Times New Roman" w:cs="Times New Roman" w:hint="eastAsia"/>
            <w:b/>
            <w:sz w:val="28"/>
            <w:szCs w:val="24"/>
          </w:rPr>
          <w:t>6.2.1</w:t>
        </w:r>
      </w:smartTag>
      <w:r w:rsidRPr="00E362F4">
        <w:rPr>
          <w:rFonts w:ascii="仿宋_GB2312" w:eastAsia="仿宋_GB2312" w:hAnsi="Times New Roman" w:cs="Times New Roman" w:hint="eastAsia"/>
          <w:sz w:val="28"/>
          <w:szCs w:val="24"/>
        </w:rPr>
        <w:t xml:space="preserve"> 检验机构接收样品应当有专人负责检查、记录样品的外观、状态、封条有无破损及其他可能对检测结果或者综合判定产生影响的情况，并确认样品与抽样单的记录是否相符，对检测和备用样品分别加贴相应标识后入库。</w:t>
      </w:r>
    </w:p>
    <w:p w:rsidR="00E362F4" w:rsidRPr="00E362F4" w:rsidRDefault="00E362F4" w:rsidP="00E362F4">
      <w:pPr>
        <w:snapToGrid w:val="0"/>
        <w:spacing w:line="360" w:lineRule="auto"/>
        <w:rPr>
          <w:rFonts w:ascii="仿宋_GB2312" w:eastAsia="仿宋_GB2312" w:hAnsi="Times New Roman" w:cs="Times New Roman"/>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Times New Roman" w:cs="Times New Roman" w:hint="eastAsia"/>
            <w:b/>
            <w:sz w:val="28"/>
            <w:szCs w:val="24"/>
          </w:rPr>
          <w:t>6.2.2</w:t>
        </w:r>
      </w:smartTag>
      <w:r w:rsidRPr="00E362F4">
        <w:rPr>
          <w:rFonts w:ascii="仿宋_GB2312" w:eastAsia="仿宋_GB2312" w:hAnsi="Times New Roman" w:cs="Times New Roman" w:hint="eastAsia"/>
          <w:sz w:val="28"/>
          <w:szCs w:val="24"/>
        </w:rPr>
        <w:t xml:space="preserve"> 如被检产品明示执行标准版本已被新版本替换，则以产品明示生产日期为准判定检测用标准版本：生产日期在新版本标准生效日期之前，按旧版本标准进行检测，生产日期在新版本生效日期之后，则按新版本标准进行检测。</w:t>
      </w:r>
    </w:p>
    <w:p w:rsidR="00E362F4" w:rsidRPr="00E362F4" w:rsidRDefault="00E362F4" w:rsidP="00E362F4">
      <w:pPr>
        <w:snapToGrid w:val="0"/>
        <w:spacing w:line="360" w:lineRule="auto"/>
        <w:rPr>
          <w:rFonts w:ascii="仿宋_GB2312" w:eastAsia="仿宋_GB2312" w:hAnsi="Times New Roman" w:cs="Times New Roman"/>
          <w:sz w:val="28"/>
          <w:szCs w:val="24"/>
        </w:rPr>
      </w:pPr>
      <w:smartTag w:uri="urn:schemas-microsoft-com:office:smarttags" w:element="chsdate">
        <w:smartTagPr>
          <w:attr w:name="Year" w:val="1899"/>
          <w:attr w:name="Month" w:val="12"/>
          <w:attr w:name="Day" w:val="30"/>
          <w:attr w:name="IsLunarDate" w:val="False"/>
          <w:attr w:name="IsROCDate" w:val="False"/>
        </w:smartTagPr>
        <w:r w:rsidRPr="00E362F4">
          <w:rPr>
            <w:rFonts w:ascii="仿宋_GB2312" w:eastAsia="仿宋_GB2312" w:hAnsi="Times New Roman" w:cs="Times New Roman" w:hint="eastAsia"/>
            <w:b/>
            <w:sz w:val="28"/>
            <w:szCs w:val="24"/>
          </w:rPr>
          <w:t>6.2.3</w:t>
        </w:r>
      </w:smartTag>
      <w:r w:rsidRPr="00E362F4">
        <w:rPr>
          <w:rFonts w:ascii="仿宋_GB2312" w:eastAsia="仿宋_GB2312" w:hAnsi="Times New Roman" w:cs="Times New Roman" w:hint="eastAsia"/>
          <w:sz w:val="28"/>
          <w:szCs w:val="24"/>
        </w:rPr>
        <w:t xml:space="preserve"> 当采用企业标准或明示指标进行判定时，若产品明示指标与明示执行标准规定不同，采用要求高的指标判定。</w:t>
      </w:r>
    </w:p>
    <w:p w:rsidR="00E362F4" w:rsidRPr="00E362F4" w:rsidRDefault="00E362F4" w:rsidP="00E362F4">
      <w:pPr>
        <w:snapToGrid w:val="0"/>
        <w:spacing w:line="360" w:lineRule="auto"/>
        <w:outlineLvl w:val="0"/>
        <w:rPr>
          <w:rFonts w:ascii="黑体" w:eastAsia="黑体" w:hAnsi="黑体" w:cs="Times New Roman"/>
          <w:sz w:val="28"/>
          <w:szCs w:val="24"/>
        </w:rPr>
      </w:pPr>
      <w:r w:rsidRPr="00E362F4">
        <w:rPr>
          <w:rFonts w:ascii="黑体" w:eastAsia="黑体" w:hAnsi="黑体" w:cs="Times New Roman" w:hint="eastAsia"/>
          <w:sz w:val="28"/>
          <w:szCs w:val="24"/>
        </w:rPr>
        <w:t>7  判定原则</w:t>
      </w:r>
    </w:p>
    <w:p w:rsidR="00E362F4" w:rsidRPr="00E362F4" w:rsidRDefault="00E362F4" w:rsidP="00E362F4">
      <w:pPr>
        <w:snapToGrid w:val="0"/>
        <w:spacing w:line="360" w:lineRule="auto"/>
        <w:ind w:firstLineChars="200" w:firstLine="560"/>
        <w:rPr>
          <w:rFonts w:ascii="仿宋_GB2312" w:eastAsia="仿宋_GB2312" w:hAnsi="Times New Roman" w:cs="Sim Sun"/>
          <w:color w:val="000000"/>
          <w:kern w:val="0"/>
          <w:sz w:val="28"/>
          <w:szCs w:val="28"/>
        </w:rPr>
      </w:pPr>
      <w:r w:rsidRPr="00E362F4">
        <w:rPr>
          <w:rFonts w:ascii="仿宋_GB2312" w:eastAsia="仿宋_GB2312" w:hAnsi="Times New Roman" w:cs="Sim Sun" w:hint="eastAsia"/>
          <w:color w:val="000000"/>
          <w:kern w:val="0"/>
          <w:sz w:val="28"/>
          <w:szCs w:val="28"/>
        </w:rPr>
        <w:t>经检验，检验项目全部合格，判定该产品本次监督抽查结果合格。任一检验项目不合格，判定该产品本次监督抽查结果不合格。</w:t>
      </w:r>
    </w:p>
    <w:p w:rsidR="00E362F4" w:rsidRPr="00E362F4" w:rsidRDefault="00E362F4" w:rsidP="00E362F4">
      <w:pPr>
        <w:snapToGrid w:val="0"/>
        <w:spacing w:line="360" w:lineRule="auto"/>
        <w:outlineLvl w:val="0"/>
        <w:rPr>
          <w:rFonts w:ascii="黑体" w:eastAsia="黑体" w:hAnsi="黑体" w:cs="Times New Roman"/>
          <w:sz w:val="28"/>
          <w:szCs w:val="24"/>
        </w:rPr>
      </w:pPr>
      <w:r w:rsidRPr="00E362F4">
        <w:rPr>
          <w:rFonts w:ascii="黑体" w:eastAsia="黑体" w:hAnsi="黑体" w:cs="Times New Roman" w:hint="eastAsia"/>
          <w:sz w:val="28"/>
          <w:szCs w:val="24"/>
        </w:rPr>
        <w:t>8  异议处理复检</w:t>
      </w:r>
    </w:p>
    <w:p w:rsidR="00E362F4" w:rsidRPr="00E362F4" w:rsidRDefault="00E362F4" w:rsidP="00E362F4">
      <w:pPr>
        <w:snapToGrid w:val="0"/>
        <w:spacing w:line="360" w:lineRule="auto"/>
        <w:rPr>
          <w:rFonts w:ascii="仿宋_GB2312" w:eastAsia="仿宋_GB2312" w:hAnsi="Times New Roman" w:cs="Sim Sun"/>
          <w:iCs/>
          <w:kern w:val="0"/>
          <w:sz w:val="28"/>
          <w:szCs w:val="28"/>
        </w:rPr>
      </w:pPr>
      <w:r w:rsidRPr="00E362F4">
        <w:rPr>
          <w:rFonts w:ascii="仿宋_GB2312" w:eastAsia="仿宋_GB2312" w:hAnsi="Times New Roman" w:cs="Sim Sun" w:hint="eastAsia"/>
          <w:b/>
          <w:iCs/>
          <w:kern w:val="0"/>
          <w:sz w:val="28"/>
          <w:szCs w:val="28"/>
        </w:rPr>
        <w:t>8.1</w:t>
      </w:r>
      <w:r w:rsidRPr="00E362F4">
        <w:rPr>
          <w:rFonts w:ascii="仿宋_GB2312" w:eastAsia="仿宋_GB2312" w:hAnsi="Times New Roman" w:cs="Sim Sun" w:hint="eastAsia"/>
          <w:iCs/>
          <w:kern w:val="0"/>
          <w:sz w:val="28"/>
          <w:szCs w:val="28"/>
        </w:rPr>
        <w:t>被抽查企业在收到检验结果，对结果有异议时，可以自收到检验结果之日起15日内向深圳市市场监督管理局提出书面复检申请。逾期未提出异议的，视为承认检验结果。</w:t>
      </w:r>
    </w:p>
    <w:p w:rsidR="00E362F4" w:rsidRPr="00E362F4" w:rsidRDefault="00E362F4" w:rsidP="00E362F4">
      <w:pPr>
        <w:snapToGrid w:val="0"/>
        <w:spacing w:line="360" w:lineRule="auto"/>
        <w:rPr>
          <w:rFonts w:ascii="仿宋_GB2312" w:eastAsia="仿宋_GB2312" w:hAnsi="Times New Roman" w:cs="Sim Sun"/>
          <w:iCs/>
          <w:kern w:val="0"/>
          <w:sz w:val="28"/>
          <w:szCs w:val="28"/>
        </w:rPr>
      </w:pPr>
      <w:r w:rsidRPr="00E362F4">
        <w:rPr>
          <w:rFonts w:ascii="仿宋_GB2312" w:eastAsia="仿宋_GB2312" w:hAnsi="Times New Roman" w:cs="Sim Sun" w:hint="eastAsia"/>
          <w:b/>
          <w:iCs/>
          <w:kern w:val="0"/>
          <w:sz w:val="28"/>
          <w:szCs w:val="28"/>
        </w:rPr>
        <w:t>8.2</w:t>
      </w:r>
      <w:r w:rsidRPr="00E362F4">
        <w:rPr>
          <w:rFonts w:ascii="仿宋_GB2312" w:eastAsia="仿宋_GB2312" w:hAnsi="Times New Roman" w:cs="Sim Sun" w:hint="eastAsia"/>
          <w:iCs/>
          <w:kern w:val="0"/>
          <w:sz w:val="28"/>
          <w:szCs w:val="28"/>
        </w:rPr>
        <w:t>本规范中的冲击试验、负荷试验、强度类、可预见的合理滥用检验项目被判定不合格的，不进行复检。</w:t>
      </w:r>
    </w:p>
    <w:p w:rsidR="00E362F4" w:rsidRPr="00E362F4" w:rsidRDefault="00E362F4" w:rsidP="00E362F4">
      <w:pPr>
        <w:snapToGrid w:val="0"/>
        <w:spacing w:line="360" w:lineRule="auto"/>
        <w:rPr>
          <w:rFonts w:ascii="仿宋_GB2312" w:eastAsia="仿宋_GB2312" w:hAnsi="Times New Roman" w:cs="Sim Sun"/>
          <w:iCs/>
          <w:kern w:val="0"/>
          <w:sz w:val="28"/>
          <w:szCs w:val="28"/>
        </w:rPr>
      </w:pPr>
      <w:r w:rsidRPr="00E362F4">
        <w:rPr>
          <w:rFonts w:ascii="仿宋_GB2312" w:eastAsia="仿宋_GB2312" w:hAnsi="Times New Roman" w:cs="Sim Sun" w:hint="eastAsia"/>
          <w:b/>
          <w:iCs/>
          <w:kern w:val="0"/>
          <w:sz w:val="28"/>
          <w:szCs w:val="28"/>
        </w:rPr>
        <w:t>8.3</w:t>
      </w:r>
      <w:r w:rsidRPr="00E362F4">
        <w:rPr>
          <w:rFonts w:ascii="仿宋_GB2312" w:eastAsia="仿宋_GB2312" w:hAnsi="Times New Roman" w:cs="Sim Sun" w:hint="eastAsia"/>
          <w:iCs/>
          <w:kern w:val="0"/>
          <w:sz w:val="28"/>
          <w:szCs w:val="28"/>
        </w:rPr>
        <w:t>检验机构接到深圳市市场监督管理局的复检通知后应当按原监督抽查方案，核查不合格项目相关证据，能够以记录（纸质记录或电子记录或影像记录）、或与不合格项目相关联的其它质量数据等检验证据证明，并得到被检方认可的，做出维持原检验结果的结论。</w:t>
      </w:r>
    </w:p>
    <w:p w:rsidR="00E362F4" w:rsidRPr="00E362F4" w:rsidRDefault="00E362F4" w:rsidP="00E362F4">
      <w:pPr>
        <w:snapToGrid w:val="0"/>
        <w:spacing w:line="360" w:lineRule="auto"/>
        <w:rPr>
          <w:rFonts w:ascii="仿宋_GB2312" w:eastAsia="仿宋_GB2312" w:hAnsi="Times New Roman" w:cs="Sim Sun"/>
          <w:color w:val="000000"/>
          <w:kern w:val="0"/>
          <w:sz w:val="28"/>
          <w:szCs w:val="28"/>
        </w:rPr>
      </w:pPr>
      <w:r w:rsidRPr="00E362F4">
        <w:rPr>
          <w:rFonts w:ascii="仿宋_GB2312" w:eastAsia="仿宋_GB2312" w:hAnsi="Times New Roman" w:cs="Sim Sun" w:hint="eastAsia"/>
          <w:b/>
          <w:color w:val="000000"/>
          <w:kern w:val="0"/>
          <w:sz w:val="28"/>
          <w:szCs w:val="28"/>
        </w:rPr>
        <w:t>8.4</w:t>
      </w:r>
      <w:r w:rsidRPr="00E362F4">
        <w:rPr>
          <w:rFonts w:ascii="仿宋_GB2312" w:eastAsia="仿宋_GB2312" w:hAnsi="Times New Roman" w:cs="Sim Sun" w:hint="eastAsia"/>
          <w:iCs/>
          <w:color w:val="000000"/>
          <w:kern w:val="0"/>
          <w:sz w:val="28"/>
          <w:szCs w:val="28"/>
        </w:rPr>
        <w:t>复验检验人员与初检检验人员不得为同一人。</w:t>
      </w:r>
    </w:p>
    <w:p w:rsidR="00E362F4" w:rsidRPr="00E362F4" w:rsidRDefault="00E362F4" w:rsidP="00E362F4">
      <w:pPr>
        <w:snapToGrid w:val="0"/>
        <w:spacing w:line="360" w:lineRule="auto"/>
        <w:rPr>
          <w:rFonts w:ascii="仿宋_GB2312" w:eastAsia="仿宋_GB2312" w:hAnsi="Times New Roman" w:cs="Sim Sun"/>
          <w:color w:val="000000"/>
          <w:kern w:val="0"/>
          <w:sz w:val="28"/>
          <w:szCs w:val="28"/>
        </w:rPr>
      </w:pPr>
      <w:r w:rsidRPr="00E362F4">
        <w:rPr>
          <w:rFonts w:ascii="仿宋_GB2312" w:eastAsia="仿宋_GB2312" w:hAnsi="Times New Roman" w:cs="Sim Sun" w:hint="eastAsia"/>
          <w:b/>
          <w:color w:val="000000"/>
          <w:kern w:val="0"/>
          <w:sz w:val="28"/>
          <w:szCs w:val="28"/>
        </w:rPr>
        <w:t>8.5</w:t>
      </w:r>
      <w:r w:rsidRPr="00E362F4">
        <w:rPr>
          <w:rFonts w:ascii="仿宋_GB2312" w:eastAsia="仿宋_GB2312" w:hAnsi="Times New Roman" w:cs="Sim Sun" w:hint="eastAsia"/>
          <w:color w:val="000000"/>
          <w:kern w:val="0"/>
          <w:sz w:val="28"/>
          <w:szCs w:val="28"/>
        </w:rPr>
        <w:t>需对不合格项目复验时，按6.1选择复检样品。</w:t>
      </w:r>
      <w:r w:rsidRPr="00E362F4">
        <w:rPr>
          <w:rFonts w:ascii="仿宋_GB2312" w:eastAsia="仿宋_GB2312" w:hAnsi="Times New Roman" w:cs="Sim Sun" w:hint="eastAsia"/>
          <w:kern w:val="0"/>
          <w:sz w:val="28"/>
          <w:szCs w:val="28"/>
        </w:rPr>
        <w:t>当复检结果仍不合格，维持原检验结果不变。当复检结果合格，以复检结果为准</w:t>
      </w:r>
      <w:r w:rsidRPr="00E362F4">
        <w:rPr>
          <w:rFonts w:ascii="仿宋_GB2312" w:eastAsia="仿宋_GB2312" w:hAnsi="Times New Roman" w:cs="Sim Sun" w:hint="eastAsia"/>
          <w:color w:val="000000"/>
          <w:kern w:val="0"/>
          <w:sz w:val="28"/>
          <w:szCs w:val="28"/>
        </w:rPr>
        <w:t>。</w:t>
      </w:r>
    </w:p>
    <w:p w:rsidR="00E362F4" w:rsidRPr="00E362F4" w:rsidRDefault="00E362F4" w:rsidP="00E362F4">
      <w:pPr>
        <w:snapToGrid w:val="0"/>
        <w:spacing w:line="360" w:lineRule="auto"/>
        <w:rPr>
          <w:rFonts w:ascii="仿宋_GB2312" w:eastAsia="仿宋_GB2312" w:hAnsi="Times New Roman" w:cs="Sim Sun"/>
          <w:iCs/>
          <w:kern w:val="0"/>
          <w:sz w:val="28"/>
          <w:szCs w:val="28"/>
        </w:rPr>
      </w:pPr>
      <w:r w:rsidRPr="00E362F4">
        <w:rPr>
          <w:rFonts w:ascii="仿宋_GB2312" w:eastAsia="仿宋_GB2312" w:hAnsi="Times New Roman" w:cs="Sim Sun" w:hint="eastAsia"/>
          <w:b/>
          <w:iCs/>
          <w:kern w:val="0"/>
          <w:sz w:val="28"/>
          <w:szCs w:val="28"/>
        </w:rPr>
        <w:t>8.6</w:t>
      </w:r>
      <w:r w:rsidRPr="00E362F4">
        <w:rPr>
          <w:rFonts w:ascii="仿宋_GB2312" w:eastAsia="仿宋_GB2312" w:hAnsi="Times New Roman" w:cs="Sim Sun" w:hint="eastAsia"/>
          <w:iCs/>
          <w:kern w:val="0"/>
          <w:sz w:val="28"/>
          <w:szCs w:val="28"/>
        </w:rPr>
        <w:t>深圳市市场监督管理局根据初检、复验结果及企业提交的证明材料，做出复检结论，复检结论为最终结论。</w:t>
      </w:r>
    </w:p>
    <w:p w:rsidR="00E362F4" w:rsidRPr="00E362F4" w:rsidRDefault="00E362F4" w:rsidP="00E362F4">
      <w:pPr>
        <w:snapToGrid w:val="0"/>
        <w:spacing w:line="360" w:lineRule="auto"/>
        <w:outlineLvl w:val="0"/>
        <w:rPr>
          <w:rFonts w:ascii="仿宋_GB2312" w:eastAsia="仿宋_GB2312" w:hAnsi="宋体" w:cs="Times New Roman"/>
          <w:b/>
          <w:sz w:val="28"/>
          <w:szCs w:val="28"/>
        </w:rPr>
      </w:pPr>
      <w:r w:rsidRPr="00E362F4">
        <w:rPr>
          <w:rFonts w:ascii="仿宋_GB2312" w:eastAsia="仿宋_GB2312" w:hAnsi="宋体" w:cs="Times New Roman" w:hint="eastAsia"/>
          <w:b/>
          <w:sz w:val="28"/>
          <w:szCs w:val="28"/>
        </w:rPr>
        <w:t>9 附则</w:t>
      </w:r>
    </w:p>
    <w:p w:rsidR="00E362F4" w:rsidRPr="00E362F4" w:rsidRDefault="00E362F4" w:rsidP="00E362F4">
      <w:pPr>
        <w:snapToGrid w:val="0"/>
        <w:spacing w:line="360" w:lineRule="auto"/>
        <w:ind w:firstLineChars="200" w:firstLine="560"/>
        <w:rPr>
          <w:rFonts w:ascii="仿宋_GB2312" w:eastAsia="仿宋_GB2312" w:hAnsi="宋体" w:cs="Times New Roman"/>
          <w:iCs/>
          <w:sz w:val="28"/>
          <w:szCs w:val="28"/>
        </w:rPr>
      </w:pPr>
      <w:r w:rsidRPr="00E362F4">
        <w:rPr>
          <w:rFonts w:ascii="仿宋_GB2312" w:eastAsia="仿宋_GB2312" w:hAnsi="宋体" w:cs="Times New Roman" w:hint="eastAsia"/>
          <w:sz w:val="28"/>
          <w:szCs w:val="28"/>
        </w:rPr>
        <w:t>本规范编制</w:t>
      </w:r>
      <w:r w:rsidRPr="00E362F4">
        <w:rPr>
          <w:rFonts w:ascii="仿宋_GB2312" w:eastAsia="仿宋_GB2312" w:hAnsi="宋体" w:cs="Times New Roman" w:hint="eastAsia"/>
          <w:iCs/>
          <w:sz w:val="28"/>
          <w:szCs w:val="28"/>
        </w:rPr>
        <w:t>单位：深圳电气产品质量检测中心。</w:t>
      </w:r>
    </w:p>
    <w:p w:rsidR="00E362F4" w:rsidRPr="00E362F4" w:rsidRDefault="00E362F4" w:rsidP="00E362F4">
      <w:pPr>
        <w:snapToGrid w:val="0"/>
        <w:spacing w:line="360" w:lineRule="auto"/>
        <w:ind w:firstLineChars="200" w:firstLine="560"/>
        <w:rPr>
          <w:rFonts w:ascii="仿宋_GB2312" w:eastAsia="仿宋_GB2312" w:hAnsi="宋体" w:cs="Times New Roman"/>
          <w:sz w:val="28"/>
          <w:szCs w:val="28"/>
        </w:rPr>
      </w:pPr>
      <w:r w:rsidRPr="00E362F4">
        <w:rPr>
          <w:rFonts w:ascii="仿宋_GB2312" w:eastAsia="仿宋_GB2312" w:hAnsi="宋体" w:cs="Times New Roman" w:hint="eastAsia"/>
          <w:sz w:val="28"/>
          <w:szCs w:val="28"/>
        </w:rPr>
        <w:t>本规范由</w:t>
      </w:r>
      <w:r w:rsidRPr="00E362F4">
        <w:rPr>
          <w:rFonts w:ascii="仿宋_GB2312" w:eastAsia="仿宋_GB2312" w:hAnsi="宋体" w:cs="Times New Roman" w:hint="eastAsia"/>
          <w:iCs/>
          <w:sz w:val="28"/>
          <w:szCs w:val="28"/>
        </w:rPr>
        <w:t>深圳市市场监督管理局质量处</w:t>
      </w:r>
      <w:r w:rsidRPr="00E362F4">
        <w:rPr>
          <w:rFonts w:ascii="仿宋_GB2312" w:eastAsia="仿宋_GB2312" w:hAnsi="宋体" w:cs="Times New Roman" w:hint="eastAsia"/>
          <w:sz w:val="28"/>
          <w:szCs w:val="28"/>
        </w:rPr>
        <w:t>管理。</w:t>
      </w:r>
    </w:p>
    <w:p w:rsidR="00447460" w:rsidRDefault="00447460" w:rsidP="00E362F4">
      <w:bookmarkStart w:id="1" w:name="_GoBack"/>
      <w:bookmarkEnd w:id="1"/>
    </w:p>
    <w:sectPr w:rsidR="004474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Sim Sun">
    <w:altName w:val="黑体"/>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revisionView w:markup="0" w:formatting="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2F4"/>
    <w:rsid w:val="00447460"/>
    <w:rsid w:val="00E3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5:chartTrackingRefBased/>
  <w15:docId w15:val="{C3F1CE11-D86E-438F-B6E6-6AED4D9C2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651</Words>
  <Characters>3715</Characters>
  <Application>Microsoft Office Word</Application>
  <DocSecurity>0</DocSecurity>
  <Lines>30</Lines>
  <Paragraphs>8</Paragraphs>
  <ScaleCrop>false</ScaleCrop>
  <Company>Microsoft</Company>
  <LinksUpToDate>false</LinksUpToDate>
  <CharactersWithSpaces>4358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李力</dc:creator>
  <cp:keywords/>
  <dc:description/>
  <cp:lastModifiedBy>李力</cp:lastModifiedBy>
  <cp:revision>1</cp:revision>
  <dcterms:created xsi:type="dcterms:W3CDTF">2017-06-05T08:35:00Z</dcterms:created>
  <dcterms:modified xsi:type="dcterms:W3CDTF">2017-06-05T08:35:00Z</dcterms:modified>
</cp:coreProperties>
</file>